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00E2" w14:textId="0B90D8F0" w:rsidR="0049043E" w:rsidRPr="00A57547" w:rsidRDefault="0049043E" w:rsidP="0049043E">
      <w:pPr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503C">
        <w:rPr>
          <w:rFonts w:cs="Arial"/>
          <w:b/>
          <w:bCs/>
          <w:sz w:val="24"/>
        </w:rPr>
        <w:t xml:space="preserve">TO:  </w:t>
      </w:r>
      <w:r w:rsidR="00A805AB" w:rsidRPr="00A57547">
        <w:rPr>
          <w:rFonts w:cs="Arial"/>
          <w:b/>
          <w:bCs/>
          <w:color w:val="000000" w:themeColor="text1"/>
          <w:sz w:val="24"/>
        </w:rPr>
        <w:t xml:space="preserve">METROPLUSHEALTH PARTICIPATING PROVIDERS - </w:t>
      </w:r>
      <w:r w:rsidR="00D03FE1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CRISIS RE</w:t>
      </w:r>
      <w:r w:rsidR="004751D6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03FE1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IDENCE FACILITIES</w:t>
      </w:r>
    </w:p>
    <w:p w14:paraId="2D6CCB59" w14:textId="171553C9" w:rsidR="0049043E" w:rsidRPr="00A57547" w:rsidRDefault="0049043E" w:rsidP="0049043E">
      <w:pPr>
        <w:rPr>
          <w:rFonts w:cs="Arial"/>
          <w:b/>
          <w:bCs/>
          <w:strike/>
          <w:color w:val="000000" w:themeColor="text1"/>
          <w:sz w:val="24"/>
        </w:rPr>
      </w:pPr>
      <w:r w:rsidRPr="00A57547">
        <w:rPr>
          <w:rFonts w:cs="Arial"/>
          <w:b/>
          <w:bCs/>
          <w:color w:val="000000" w:themeColor="text1"/>
          <w:sz w:val="24"/>
        </w:rPr>
        <w:t xml:space="preserve">RE: </w:t>
      </w:r>
      <w:r w:rsidR="000707AA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NYS 2023-2024 BUDGET-SUBPART B, AMENDMENT</w:t>
      </w:r>
      <w:r w:rsidR="00E640DA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707AA" w:rsidRPr="00A57547">
        <w:rPr>
          <w:rFonts w:cs="Arial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INCLUDE CRISIS RESIDENCE FACILITIES </w:t>
      </w:r>
    </w:p>
    <w:p w14:paraId="41C1E8E1" w14:textId="1C923D85" w:rsidR="0049043E" w:rsidRPr="004751D6" w:rsidRDefault="0049043E" w:rsidP="0049043E">
      <w:pPr>
        <w:pStyle w:val="Heading1"/>
        <w:spacing w:before="0" w:beforeAutospacing="0"/>
        <w:rPr>
          <w:rFonts w:cs="Arial"/>
          <w:color w:val="auto"/>
          <w:sz w:val="24"/>
          <w:szCs w:val="24"/>
        </w:rPr>
      </w:pPr>
      <w:r w:rsidRPr="0078503C">
        <w:rPr>
          <w:rFonts w:cs="Arial"/>
          <w:bCs/>
          <w:sz w:val="24"/>
          <w:szCs w:val="24"/>
        </w:rPr>
        <w:t>Impacted Plans</w:t>
      </w:r>
      <w:r w:rsidRPr="0078503C">
        <w:rPr>
          <w:rFonts w:cs="Arial"/>
          <w:sz w:val="24"/>
          <w:szCs w:val="24"/>
        </w:rPr>
        <w:t xml:space="preserve">: MAINSTREAM Medicaid </w:t>
      </w:r>
      <w:r w:rsidR="00D03FE1" w:rsidRPr="0078503C">
        <w:rPr>
          <w:rFonts w:cs="Arial"/>
          <w:sz w:val="24"/>
          <w:szCs w:val="24"/>
        </w:rPr>
        <w:t>PLANS, HIV</w:t>
      </w:r>
      <w:r w:rsidRPr="0078503C">
        <w:rPr>
          <w:rFonts w:cs="Arial"/>
          <w:sz w:val="24"/>
          <w:szCs w:val="24"/>
        </w:rPr>
        <w:t xml:space="preserve"> SNP Plans</w:t>
      </w:r>
      <w:r w:rsidR="00EB6573" w:rsidRPr="0078503C">
        <w:rPr>
          <w:rFonts w:cs="Arial"/>
          <w:sz w:val="24"/>
          <w:szCs w:val="24"/>
        </w:rPr>
        <w:t xml:space="preserve">, </w:t>
      </w:r>
      <w:r w:rsidR="00EB6573" w:rsidRPr="004751D6">
        <w:rPr>
          <w:rFonts w:cs="Arial"/>
          <w:color w:val="auto"/>
          <w:sz w:val="24"/>
          <w:szCs w:val="24"/>
        </w:rPr>
        <w:t>and HEALTH AND RECOVERY PLANS (harp)</w:t>
      </w:r>
    </w:p>
    <w:p w14:paraId="470FC785" w14:textId="77777777" w:rsidR="0049043E" w:rsidRDefault="0049043E" w:rsidP="0049043E"/>
    <w:p w14:paraId="4366139B" w14:textId="77777777" w:rsidR="0049043E" w:rsidRPr="002219FB" w:rsidRDefault="0049043E" w:rsidP="0049043E">
      <w:pPr>
        <w:rPr>
          <w:rFonts w:cs="Arial"/>
          <w:szCs w:val="22"/>
        </w:rPr>
      </w:pPr>
      <w:r w:rsidRPr="002219FB">
        <w:rPr>
          <w:rFonts w:cs="Arial"/>
          <w:szCs w:val="22"/>
        </w:rPr>
        <w:t>Dear MetroPlusHealth Provider,</w:t>
      </w:r>
    </w:p>
    <w:p w14:paraId="258FFE54" w14:textId="77777777" w:rsidR="00903CA9" w:rsidRPr="002219FB" w:rsidRDefault="00903CA9" w:rsidP="00B575AB">
      <w:pPr>
        <w:pStyle w:val="xmsonormal"/>
        <w:rPr>
          <w:rFonts w:ascii="Arial" w:hAnsi="Arial" w:cs="Arial"/>
        </w:rPr>
      </w:pPr>
    </w:p>
    <w:p w14:paraId="1CBB7E9F" w14:textId="147387AE" w:rsidR="002219FB" w:rsidRPr="00A57547" w:rsidRDefault="007F10FE" w:rsidP="002219FB">
      <w:pPr>
        <w:pStyle w:val="xmsonormal"/>
        <w:rPr>
          <w:rFonts w:ascii="Arial" w:hAnsi="Arial" w:cs="Arial"/>
          <w:color w:val="000000" w:themeColor="text1"/>
        </w:rPr>
      </w:pPr>
      <w:r w:rsidRPr="002219FB">
        <w:rPr>
          <w:rFonts w:ascii="Arial" w:hAnsi="Arial" w:cs="Arial"/>
          <w:b/>
          <w:bCs/>
        </w:rPr>
        <w:t>Effective May 3, 2024</w:t>
      </w:r>
      <w:r w:rsidR="004751D6" w:rsidRPr="002219FB">
        <w:rPr>
          <w:rFonts w:ascii="Arial" w:hAnsi="Arial" w:cs="Arial"/>
          <w:b/>
          <w:bCs/>
        </w:rPr>
        <w:t>,</w:t>
      </w:r>
      <w:r w:rsidRPr="002219FB">
        <w:rPr>
          <w:rFonts w:ascii="Arial" w:hAnsi="Arial" w:cs="Arial"/>
          <w:b/>
          <w:bCs/>
        </w:rPr>
        <w:t xml:space="preserve"> </w:t>
      </w:r>
      <w:r w:rsidRPr="002219FB">
        <w:rPr>
          <w:rFonts w:ascii="Arial" w:hAnsi="Arial" w:cs="Arial"/>
        </w:rPr>
        <w:t>p</w:t>
      </w:r>
      <w:r w:rsidR="00B575AB" w:rsidRPr="002219FB">
        <w:rPr>
          <w:rFonts w:ascii="Arial" w:hAnsi="Arial" w:cs="Arial"/>
        </w:rPr>
        <w:t>er the NYS 2023-2024 Budget - Subpart B, modification for previously existing coverage requirement related to hospitals have been amended to include Crisis Residence facilities</w:t>
      </w:r>
      <w:r w:rsidR="00B575AB" w:rsidRPr="00A57547">
        <w:rPr>
          <w:rFonts w:ascii="Arial" w:hAnsi="Arial" w:cs="Arial"/>
          <w:color w:val="000000" w:themeColor="text1"/>
        </w:rPr>
        <w:t xml:space="preserve">. </w:t>
      </w:r>
      <w:r w:rsidR="00A805AB" w:rsidRPr="00A57547">
        <w:rPr>
          <w:rFonts w:ascii="Arial" w:hAnsi="Arial" w:cs="Arial"/>
          <w:color w:val="000000" w:themeColor="text1"/>
        </w:rPr>
        <w:t>Coverage</w:t>
      </w:r>
      <w:r w:rsidR="002219FB" w:rsidRPr="00A57547">
        <w:rPr>
          <w:rFonts w:ascii="Arial" w:hAnsi="Arial" w:cs="Arial"/>
          <w:color w:val="000000" w:themeColor="text1"/>
        </w:rPr>
        <w:t xml:space="preserve"> for sub-acute care in a crisis residence facility licensed or operated by </w:t>
      </w:r>
      <w:r w:rsidR="00ED4576" w:rsidRPr="00A57547">
        <w:rPr>
          <w:rFonts w:ascii="Arial" w:hAnsi="Arial" w:cs="Arial"/>
          <w:color w:val="000000" w:themeColor="text1"/>
        </w:rPr>
        <w:t>the Office of Mental Health (</w:t>
      </w:r>
      <w:r w:rsidR="002219FB" w:rsidRPr="00A57547">
        <w:rPr>
          <w:rFonts w:ascii="Arial" w:hAnsi="Arial" w:cs="Arial"/>
          <w:color w:val="000000" w:themeColor="text1"/>
        </w:rPr>
        <w:t>OMH</w:t>
      </w:r>
      <w:r w:rsidR="00ED4576" w:rsidRPr="00A57547">
        <w:rPr>
          <w:rFonts w:ascii="Arial" w:hAnsi="Arial" w:cs="Arial"/>
          <w:color w:val="000000" w:themeColor="text1"/>
        </w:rPr>
        <w:t>)</w:t>
      </w:r>
      <w:r w:rsidR="002219FB" w:rsidRPr="00A57547">
        <w:rPr>
          <w:rFonts w:ascii="Arial" w:hAnsi="Arial" w:cs="Arial"/>
          <w:color w:val="000000" w:themeColor="text1"/>
        </w:rPr>
        <w:t xml:space="preserve"> </w:t>
      </w:r>
      <w:r w:rsidR="00ED4576" w:rsidRPr="00A57547">
        <w:rPr>
          <w:rFonts w:ascii="Arial" w:hAnsi="Arial" w:cs="Arial"/>
          <w:color w:val="000000" w:themeColor="text1"/>
        </w:rPr>
        <w:t>shall not</w:t>
      </w:r>
      <w:r w:rsidR="002219FB" w:rsidRPr="00A57547">
        <w:rPr>
          <w:rFonts w:ascii="Arial" w:hAnsi="Arial" w:cs="Arial"/>
          <w:color w:val="000000" w:themeColor="text1"/>
        </w:rPr>
        <w:t xml:space="preserve"> be subject to preauthorization.  </w:t>
      </w:r>
    </w:p>
    <w:p w14:paraId="6F515FE5" w14:textId="77777777" w:rsidR="00A57547" w:rsidRDefault="00A57547" w:rsidP="007F10FE">
      <w:pPr>
        <w:rPr>
          <w:color w:val="000000" w:themeColor="text1"/>
        </w:rPr>
      </w:pPr>
    </w:p>
    <w:p w14:paraId="5BE5FD9C" w14:textId="5BA9B96D" w:rsidR="00A57547" w:rsidRDefault="00B01707" w:rsidP="00496731">
      <w:pPr>
        <w:rPr>
          <w:color w:val="000000" w:themeColor="text1"/>
        </w:rPr>
      </w:pPr>
      <w:r w:rsidRPr="00A57547">
        <w:rPr>
          <w:color w:val="000000" w:themeColor="text1"/>
        </w:rPr>
        <w:t>The following amended provisions</w:t>
      </w:r>
      <w:r w:rsidR="005B7042">
        <w:rPr>
          <w:color w:val="000000" w:themeColor="text1"/>
        </w:rPr>
        <w:t xml:space="preserve"> </w:t>
      </w:r>
      <w:r w:rsidRPr="00A57547">
        <w:rPr>
          <w:color w:val="000000" w:themeColor="text1"/>
        </w:rPr>
        <w:t xml:space="preserve">apply to </w:t>
      </w:r>
      <w:proofErr w:type="spellStart"/>
      <w:r w:rsidRPr="00A57547">
        <w:rPr>
          <w:color w:val="000000" w:themeColor="text1"/>
        </w:rPr>
        <w:t>MetroPlusHealth’s</w:t>
      </w:r>
      <w:proofErr w:type="spellEnd"/>
      <w:r w:rsidRPr="00A57547">
        <w:rPr>
          <w:color w:val="000000" w:themeColor="text1"/>
        </w:rPr>
        <w:t xml:space="preserve"> participating network of hospitals and crisis residence facilities in New York </w:t>
      </w:r>
      <w:r w:rsidR="00A95CA2" w:rsidRPr="00A57547">
        <w:rPr>
          <w:color w:val="000000" w:themeColor="text1"/>
        </w:rPr>
        <w:t xml:space="preserve">State </w:t>
      </w:r>
      <w:r w:rsidRPr="00A57547">
        <w:rPr>
          <w:color w:val="000000" w:themeColor="text1"/>
        </w:rPr>
        <w:t>that are licensed or operated by the OMH.</w:t>
      </w:r>
    </w:p>
    <w:p w14:paraId="66506749" w14:textId="77777777" w:rsidR="00496731" w:rsidRPr="00496731" w:rsidRDefault="00496731" w:rsidP="00496731">
      <w:pPr>
        <w:rPr>
          <w:rFonts w:ascii="Amasis MT Pro" w:hAnsi="Amasis MT Pro"/>
          <w:color w:val="000000" w:themeColor="text1"/>
          <w:szCs w:val="22"/>
        </w:rPr>
      </w:pPr>
    </w:p>
    <w:p w14:paraId="6857BA56" w14:textId="1FD8D166" w:rsidR="00B41B82" w:rsidRPr="00B41B82" w:rsidRDefault="00B41B82" w:rsidP="00B41B82">
      <w:pPr>
        <w:pStyle w:val="xmsonormal"/>
        <w:spacing w:after="160" w:line="252" w:lineRule="auto"/>
        <w:rPr>
          <w:rFonts w:ascii="Arial" w:hAnsi="Arial" w:cs="Arial"/>
        </w:rPr>
      </w:pPr>
      <w:r w:rsidRPr="00B41B82">
        <w:rPr>
          <w:rFonts w:ascii="Arial" w:hAnsi="Arial" w:cs="Arial"/>
        </w:rPr>
        <w:t xml:space="preserve">All inpatient care in a hospital and coverage for sub-acute care in a crisis residence facility licensed or operated by OMH may be reviewed retrospectively.  </w:t>
      </w:r>
    </w:p>
    <w:p w14:paraId="76DA3016" w14:textId="29A5C5FE" w:rsidR="00B41B82" w:rsidRPr="0038654F" w:rsidRDefault="00B41B82" w:rsidP="00B41B82">
      <w:pPr>
        <w:pStyle w:val="xmsonormal"/>
        <w:spacing w:after="160" w:line="252" w:lineRule="auto"/>
        <w:rPr>
          <w:rFonts w:ascii="Arial" w:hAnsi="Arial" w:cs="Arial"/>
          <w:color w:val="FF0000"/>
        </w:rPr>
      </w:pPr>
      <w:r w:rsidRPr="00A57547">
        <w:rPr>
          <w:rFonts w:ascii="Arial" w:hAnsi="Arial" w:cs="Arial"/>
          <w:b/>
          <w:bCs/>
          <w:i/>
          <w:iCs/>
          <w:color w:val="000000" w:themeColor="text1"/>
        </w:rPr>
        <w:t>Please note,</w:t>
      </w:r>
      <w:r w:rsidRPr="00A57547">
        <w:rPr>
          <w:rFonts w:ascii="Arial" w:hAnsi="Arial" w:cs="Arial"/>
          <w:i/>
          <w:iCs/>
          <w:color w:val="000000" w:themeColor="text1"/>
        </w:rPr>
        <w:t xml:space="preserve"> if care is denied retrospectively, the </w:t>
      </w:r>
      <w:r w:rsidR="0038654F">
        <w:rPr>
          <w:rFonts w:ascii="Arial" w:hAnsi="Arial" w:cs="Arial"/>
          <w:i/>
          <w:iCs/>
          <w:color w:val="000000" w:themeColor="text1"/>
        </w:rPr>
        <w:t xml:space="preserve">MMC </w:t>
      </w:r>
      <w:r w:rsidRPr="00A57547">
        <w:rPr>
          <w:rFonts w:ascii="Arial" w:hAnsi="Arial" w:cs="Arial"/>
          <w:i/>
          <w:iCs/>
          <w:color w:val="000000" w:themeColor="text1"/>
        </w:rPr>
        <w:t>member</w:t>
      </w:r>
      <w:r w:rsidR="0038654F">
        <w:rPr>
          <w:rFonts w:ascii="Arial" w:hAnsi="Arial" w:cs="Arial"/>
          <w:i/>
          <w:iCs/>
          <w:color w:val="000000" w:themeColor="text1"/>
        </w:rPr>
        <w:t>s</w:t>
      </w:r>
      <w:r w:rsidRPr="00A57547">
        <w:rPr>
          <w:rFonts w:ascii="Arial" w:hAnsi="Arial" w:cs="Arial"/>
          <w:i/>
          <w:iCs/>
          <w:color w:val="000000" w:themeColor="text1"/>
        </w:rPr>
        <w:t xml:space="preserve"> </w:t>
      </w:r>
      <w:r w:rsidRPr="007208E3">
        <w:rPr>
          <w:rFonts w:ascii="Arial" w:hAnsi="Arial" w:cs="Arial"/>
          <w:b/>
          <w:bCs/>
          <w:i/>
          <w:iCs/>
          <w:color w:val="000000" w:themeColor="text1"/>
        </w:rPr>
        <w:t>should not</w:t>
      </w:r>
      <w:r w:rsidRPr="00A57547">
        <w:rPr>
          <w:rFonts w:ascii="Arial" w:hAnsi="Arial" w:cs="Arial"/>
          <w:i/>
          <w:iCs/>
          <w:color w:val="000000" w:themeColor="text1"/>
        </w:rPr>
        <w:t xml:space="preserve"> have any financial obligation to the facility for treatment</w:t>
      </w:r>
      <w:r w:rsidR="00403CED">
        <w:rPr>
          <w:rFonts w:ascii="Arial" w:hAnsi="Arial" w:cs="Arial"/>
          <w:i/>
          <w:iCs/>
          <w:color w:val="000000" w:themeColor="text1"/>
        </w:rPr>
        <w:t>.</w:t>
      </w:r>
    </w:p>
    <w:p w14:paraId="3B5BFB3C" w14:textId="77777777" w:rsidR="00B41B82" w:rsidRPr="00A57547" w:rsidRDefault="00B41B82" w:rsidP="007F10FE">
      <w:pPr>
        <w:pStyle w:val="xmsonormal"/>
        <w:rPr>
          <w:rFonts w:ascii="Arial" w:hAnsi="Arial" w:cs="Arial"/>
          <w:i/>
          <w:iCs/>
          <w:color w:val="000000" w:themeColor="text1"/>
        </w:rPr>
      </w:pPr>
    </w:p>
    <w:p w14:paraId="7BD169C9" w14:textId="4AB2844E" w:rsidR="00B41B82" w:rsidRPr="00A57547" w:rsidRDefault="00B41B82" w:rsidP="007F10FE">
      <w:pPr>
        <w:pStyle w:val="xmsonormal"/>
        <w:rPr>
          <w:rFonts w:ascii="Arial" w:hAnsi="Arial" w:cs="Arial"/>
          <w:b/>
          <w:bCs/>
          <w:color w:val="000000" w:themeColor="text1"/>
          <w:u w:val="single"/>
        </w:rPr>
      </w:pPr>
      <w:r w:rsidRPr="00A57547">
        <w:rPr>
          <w:rFonts w:ascii="Arial" w:hAnsi="Arial" w:cs="Arial"/>
          <w:b/>
          <w:bCs/>
          <w:color w:val="000000" w:themeColor="text1"/>
          <w:u w:val="single"/>
        </w:rPr>
        <w:t>Criteria</w:t>
      </w:r>
    </w:p>
    <w:p w14:paraId="7896AC1C" w14:textId="77777777" w:rsidR="00B41B82" w:rsidRDefault="00B41B82" w:rsidP="007F10FE">
      <w:pPr>
        <w:pStyle w:val="xmsonormal"/>
        <w:rPr>
          <w:rFonts w:asciiTheme="majorHAnsi" w:hAnsiTheme="majorHAnsi" w:cstheme="majorHAnsi"/>
          <w:b/>
          <w:bCs/>
          <w:i/>
          <w:iCs/>
        </w:rPr>
      </w:pPr>
    </w:p>
    <w:p w14:paraId="2366A85E" w14:textId="5E960971" w:rsidR="007F10FE" w:rsidRDefault="007F10FE" w:rsidP="007F10FE">
      <w:pPr>
        <w:pStyle w:val="xmsonormal"/>
        <w:rPr>
          <w:rFonts w:asciiTheme="majorHAnsi" w:hAnsiTheme="majorHAnsi" w:cstheme="majorHAnsi"/>
          <w:b/>
          <w:bCs/>
          <w:i/>
          <w:iCs/>
        </w:rPr>
      </w:pPr>
      <w:r w:rsidRPr="0078503C">
        <w:rPr>
          <w:rFonts w:asciiTheme="majorHAnsi" w:hAnsiTheme="majorHAnsi" w:cstheme="majorHAnsi"/>
          <w:b/>
          <w:bCs/>
          <w:i/>
          <w:iCs/>
        </w:rPr>
        <w:t xml:space="preserve">For </w:t>
      </w:r>
      <w:r w:rsidR="00373090">
        <w:rPr>
          <w:rFonts w:asciiTheme="majorHAnsi" w:hAnsiTheme="majorHAnsi" w:cstheme="majorHAnsi"/>
          <w:b/>
          <w:bCs/>
          <w:i/>
          <w:iCs/>
        </w:rPr>
        <w:t>M</w:t>
      </w:r>
      <w:r w:rsidRPr="0078503C">
        <w:rPr>
          <w:rFonts w:asciiTheme="majorHAnsi" w:hAnsiTheme="majorHAnsi" w:cstheme="majorHAnsi"/>
          <w:b/>
          <w:bCs/>
          <w:i/>
          <w:iCs/>
        </w:rPr>
        <w:t xml:space="preserve">embers under the age </w:t>
      </w:r>
      <w:r w:rsidR="00D36B33">
        <w:rPr>
          <w:rFonts w:asciiTheme="majorHAnsi" w:hAnsiTheme="majorHAnsi" w:cstheme="majorHAnsi"/>
          <w:b/>
          <w:bCs/>
          <w:i/>
          <w:iCs/>
        </w:rPr>
        <w:t xml:space="preserve">of </w:t>
      </w:r>
      <w:r w:rsidRPr="0078503C">
        <w:rPr>
          <w:rFonts w:asciiTheme="majorHAnsi" w:hAnsiTheme="majorHAnsi" w:cstheme="majorHAnsi"/>
          <w:b/>
          <w:bCs/>
          <w:i/>
          <w:iCs/>
        </w:rPr>
        <w:t xml:space="preserve">18 </w:t>
      </w:r>
      <w:r w:rsidR="00102D2B">
        <w:rPr>
          <w:rFonts w:asciiTheme="majorHAnsi" w:hAnsiTheme="majorHAnsi" w:cstheme="majorHAnsi"/>
          <w:b/>
          <w:bCs/>
          <w:i/>
          <w:iCs/>
        </w:rPr>
        <w:t>years:</w:t>
      </w:r>
    </w:p>
    <w:p w14:paraId="28E28F58" w14:textId="77777777" w:rsidR="00A57547" w:rsidRPr="0078503C" w:rsidRDefault="00A57547" w:rsidP="007F10FE">
      <w:pPr>
        <w:pStyle w:val="xmsonormal"/>
        <w:rPr>
          <w:rFonts w:asciiTheme="majorHAnsi" w:hAnsiTheme="majorHAnsi" w:cstheme="majorHAnsi"/>
          <w:b/>
          <w:bCs/>
        </w:rPr>
      </w:pPr>
    </w:p>
    <w:p w14:paraId="3455E81B" w14:textId="2BA055B0" w:rsidR="007F10FE" w:rsidRPr="00A57547" w:rsidRDefault="007F10FE" w:rsidP="007F10FE">
      <w:pPr>
        <w:pStyle w:val="xmsolistparagraph"/>
        <w:numPr>
          <w:ilvl w:val="0"/>
          <w:numId w:val="29"/>
        </w:numPr>
        <w:rPr>
          <w:rFonts w:asciiTheme="majorHAnsi" w:eastAsia="Times New Roman" w:hAnsiTheme="majorHAnsi" w:cstheme="majorHAnsi"/>
          <w:color w:val="000000" w:themeColor="text1"/>
        </w:rPr>
      </w:pP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During the first 14 days of </w:t>
      </w:r>
      <w:r w:rsidR="00102D2B" w:rsidRPr="00A57547">
        <w:rPr>
          <w:rFonts w:asciiTheme="majorHAnsi" w:eastAsia="Times New Roman" w:hAnsiTheme="majorHAnsi" w:cstheme="majorHAnsi"/>
          <w:color w:val="000000" w:themeColor="text1"/>
        </w:rPr>
        <w:t xml:space="preserve">the inpatient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admission, </w:t>
      </w:r>
      <w:r w:rsidR="00D36B33" w:rsidRPr="00A57547">
        <w:rPr>
          <w:rFonts w:asciiTheme="majorHAnsi" w:eastAsia="Times New Roman" w:hAnsiTheme="majorHAnsi" w:cstheme="majorHAnsi"/>
          <w:color w:val="000000" w:themeColor="text1"/>
        </w:rPr>
        <w:t xml:space="preserve">should also not be subject to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>concurrent utilization review</w:t>
      </w:r>
      <w:r w:rsidR="00373090">
        <w:rPr>
          <w:rFonts w:asciiTheme="majorHAnsi" w:eastAsia="Times New Roman" w:hAnsiTheme="majorHAnsi" w:cstheme="majorHAnsi"/>
          <w:color w:val="000000" w:themeColor="text1"/>
        </w:rPr>
        <w:t>,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C500B8" w:rsidRPr="00A57547">
        <w:rPr>
          <w:rFonts w:asciiTheme="majorHAnsi" w:eastAsia="Times New Roman" w:hAnsiTheme="majorHAnsi" w:cstheme="majorHAnsi"/>
          <w:color w:val="000000" w:themeColor="text1"/>
        </w:rPr>
        <w:t xml:space="preserve">provided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the facility: </w:t>
      </w:r>
    </w:p>
    <w:p w14:paraId="5EB611FF" w14:textId="1D79559C" w:rsidR="007F10FE" w:rsidRPr="00A57547" w:rsidRDefault="0078503C" w:rsidP="007F10FE">
      <w:pPr>
        <w:pStyle w:val="xmsolistparagraph"/>
        <w:numPr>
          <w:ilvl w:val="0"/>
          <w:numId w:val="30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N</w:t>
      </w:r>
      <w:r w:rsidR="007F10FE" w:rsidRPr="00A57547">
        <w:rPr>
          <w:rFonts w:asciiTheme="majorHAnsi" w:hAnsiTheme="majorHAnsi" w:cstheme="majorHAnsi"/>
          <w:color w:val="000000" w:themeColor="text1"/>
        </w:rPr>
        <w:t>otifies MetroPlus</w:t>
      </w:r>
      <w:r w:rsidR="006F7247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of both the admission and the initial treatment plan within </w:t>
      </w:r>
      <w:r w:rsidR="00023AF8" w:rsidRPr="00A57547">
        <w:rPr>
          <w:rFonts w:asciiTheme="majorHAnsi" w:hAnsiTheme="majorHAnsi" w:cstheme="majorHAnsi"/>
          <w:color w:val="000000" w:themeColor="text1"/>
        </w:rPr>
        <w:t>two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business days of the admission</w:t>
      </w:r>
    </w:p>
    <w:p w14:paraId="09DD5AB4" w14:textId="6D1D0F87" w:rsidR="007F10FE" w:rsidRPr="00A57547" w:rsidRDefault="0078503C" w:rsidP="007F10FE">
      <w:pPr>
        <w:pStyle w:val="xmsolistparagraph"/>
        <w:numPr>
          <w:ilvl w:val="0"/>
          <w:numId w:val="30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P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erforms daily clinical review of the member </w:t>
      </w:r>
    </w:p>
    <w:p w14:paraId="0BED508F" w14:textId="11971138" w:rsidR="007F10FE" w:rsidRPr="00A57547" w:rsidRDefault="0078503C" w:rsidP="004B578F">
      <w:pPr>
        <w:pStyle w:val="xmsolistparagraph"/>
        <w:numPr>
          <w:ilvl w:val="0"/>
          <w:numId w:val="30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P</w:t>
      </w:r>
      <w:r w:rsidR="007F10FE" w:rsidRPr="00A57547">
        <w:rPr>
          <w:rFonts w:asciiTheme="majorHAnsi" w:hAnsiTheme="majorHAnsi" w:cstheme="majorHAnsi"/>
          <w:color w:val="000000" w:themeColor="text1"/>
        </w:rPr>
        <w:t>articipates in periodic consultation with MetroPlus</w:t>
      </w:r>
      <w:r w:rsidR="005E07D6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to ensure that the facility is using the OMH approved evidence-</w:t>
      </w:r>
      <w:r w:rsidR="00A727E4" w:rsidRPr="00A57547">
        <w:rPr>
          <w:rFonts w:asciiTheme="majorHAnsi" w:hAnsiTheme="majorHAnsi" w:cstheme="majorHAnsi"/>
          <w:color w:val="000000" w:themeColor="text1"/>
        </w:rPr>
        <w:t>based,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and peer reviewed clinical review criteria used by MetroPlus</w:t>
      </w:r>
      <w:r w:rsidR="00552C7A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. This is to ensure that the inpatient care is medically necessary and appropriate for the age of the member. </w:t>
      </w:r>
    </w:p>
    <w:p w14:paraId="2A383506" w14:textId="77777777" w:rsidR="007F10FE" w:rsidRPr="0078503C" w:rsidRDefault="007F10FE" w:rsidP="007F10FE">
      <w:pPr>
        <w:pStyle w:val="xmsolistparagraph"/>
        <w:ind w:left="1440"/>
        <w:rPr>
          <w:rFonts w:asciiTheme="majorHAnsi" w:hAnsiTheme="majorHAnsi" w:cstheme="majorHAnsi"/>
        </w:rPr>
      </w:pPr>
      <w:r w:rsidRPr="0078503C">
        <w:rPr>
          <w:rFonts w:asciiTheme="majorHAnsi" w:hAnsiTheme="majorHAnsi" w:cstheme="majorHAnsi"/>
        </w:rPr>
        <w:t> </w:t>
      </w:r>
    </w:p>
    <w:p w14:paraId="422EF7EA" w14:textId="77777777" w:rsidR="0078503C" w:rsidRDefault="0078503C" w:rsidP="007F10FE">
      <w:pPr>
        <w:pStyle w:val="xmsonormal"/>
        <w:rPr>
          <w:rFonts w:asciiTheme="majorHAnsi" w:hAnsiTheme="majorHAnsi" w:cstheme="majorHAnsi"/>
          <w:i/>
          <w:iCs/>
        </w:rPr>
      </w:pPr>
    </w:p>
    <w:p w14:paraId="390DD2EA" w14:textId="77777777" w:rsidR="00A57547" w:rsidRDefault="00A57547" w:rsidP="007F10FE">
      <w:pPr>
        <w:pStyle w:val="xmsonormal"/>
        <w:rPr>
          <w:rFonts w:asciiTheme="majorHAnsi" w:hAnsiTheme="majorHAnsi" w:cstheme="majorHAnsi"/>
          <w:i/>
          <w:iCs/>
        </w:rPr>
      </w:pPr>
    </w:p>
    <w:p w14:paraId="45B9440E" w14:textId="77777777" w:rsidR="00A57547" w:rsidRDefault="00A57547" w:rsidP="007F10FE">
      <w:pPr>
        <w:pStyle w:val="xmsonormal"/>
        <w:rPr>
          <w:rFonts w:asciiTheme="majorHAnsi" w:hAnsiTheme="majorHAnsi" w:cstheme="majorHAnsi"/>
          <w:i/>
          <w:iCs/>
        </w:rPr>
      </w:pPr>
    </w:p>
    <w:p w14:paraId="4956EE10" w14:textId="20425414" w:rsidR="007F10FE" w:rsidRDefault="007F10FE" w:rsidP="007F10FE">
      <w:pPr>
        <w:pStyle w:val="xmsonormal"/>
        <w:rPr>
          <w:rFonts w:asciiTheme="majorHAnsi" w:hAnsiTheme="majorHAnsi" w:cstheme="majorHAnsi"/>
          <w:b/>
          <w:bCs/>
          <w:color w:val="000000" w:themeColor="text1"/>
        </w:rPr>
      </w:pPr>
      <w:r w:rsidRPr="00A57547">
        <w:rPr>
          <w:rFonts w:asciiTheme="majorHAnsi" w:hAnsiTheme="majorHAnsi" w:cstheme="majorHAnsi"/>
          <w:b/>
          <w:bCs/>
          <w:i/>
          <w:iCs/>
          <w:color w:val="000000" w:themeColor="text1"/>
        </w:rPr>
        <w:lastRenderedPageBreak/>
        <w:t xml:space="preserve">For </w:t>
      </w:r>
      <w:r w:rsidR="00373090">
        <w:rPr>
          <w:rFonts w:asciiTheme="majorHAnsi" w:hAnsiTheme="majorHAnsi" w:cstheme="majorHAnsi"/>
          <w:b/>
          <w:bCs/>
          <w:i/>
          <w:iCs/>
          <w:color w:val="000000" w:themeColor="text1"/>
        </w:rPr>
        <w:t>M</w:t>
      </w:r>
      <w:r w:rsidRPr="00A57547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embers </w:t>
      </w:r>
      <w:r w:rsidR="00187214" w:rsidRPr="00A57547">
        <w:rPr>
          <w:rFonts w:asciiTheme="majorHAnsi" w:hAnsiTheme="majorHAnsi" w:cstheme="majorHAnsi"/>
          <w:b/>
          <w:bCs/>
          <w:color w:val="000000" w:themeColor="text1"/>
        </w:rPr>
        <w:t xml:space="preserve">18 years and older: </w:t>
      </w:r>
      <w:r w:rsidRPr="00A57547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42843A08" w14:textId="77777777" w:rsidR="00A57547" w:rsidRPr="00A57547" w:rsidRDefault="00A57547" w:rsidP="007F10FE">
      <w:pPr>
        <w:pStyle w:val="xmsonormal"/>
        <w:rPr>
          <w:rFonts w:asciiTheme="majorHAnsi" w:hAnsiTheme="majorHAnsi" w:cstheme="majorHAnsi"/>
          <w:b/>
          <w:bCs/>
          <w:color w:val="000000" w:themeColor="text1"/>
        </w:rPr>
      </w:pPr>
    </w:p>
    <w:p w14:paraId="26F7AF36" w14:textId="46E166AF" w:rsidR="007F10FE" w:rsidRDefault="007F10FE" w:rsidP="002B765F">
      <w:pPr>
        <w:pStyle w:val="xmsolistparagraph"/>
        <w:numPr>
          <w:ilvl w:val="0"/>
          <w:numId w:val="35"/>
        </w:numPr>
        <w:rPr>
          <w:rFonts w:asciiTheme="majorHAnsi" w:eastAsia="Times New Roman" w:hAnsiTheme="majorHAnsi" w:cstheme="majorHAnsi"/>
          <w:color w:val="000000" w:themeColor="text1"/>
        </w:rPr>
      </w:pP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During the first 30 days of </w:t>
      </w:r>
      <w:r w:rsidR="00C3657C" w:rsidRPr="00A57547">
        <w:rPr>
          <w:rFonts w:asciiTheme="majorHAnsi" w:eastAsia="Times New Roman" w:hAnsiTheme="majorHAnsi" w:cstheme="majorHAnsi"/>
          <w:color w:val="000000" w:themeColor="text1"/>
        </w:rPr>
        <w:t xml:space="preserve">the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inpatient or residential admission, </w:t>
      </w:r>
      <w:r w:rsidR="00187214" w:rsidRPr="00A57547">
        <w:rPr>
          <w:rFonts w:asciiTheme="majorHAnsi" w:eastAsia="Times New Roman" w:hAnsiTheme="majorHAnsi" w:cstheme="majorHAnsi"/>
          <w:color w:val="000000" w:themeColor="text1"/>
        </w:rPr>
        <w:t xml:space="preserve">should also not be subject to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>concurrent utilization review</w:t>
      </w:r>
      <w:r w:rsidR="00F172ED">
        <w:rPr>
          <w:rFonts w:asciiTheme="majorHAnsi" w:eastAsia="Times New Roman" w:hAnsiTheme="majorHAnsi" w:cstheme="majorHAnsi"/>
          <w:color w:val="000000" w:themeColor="text1"/>
        </w:rPr>
        <w:t>,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="00C3657C" w:rsidRPr="00A57547">
        <w:rPr>
          <w:rFonts w:asciiTheme="majorHAnsi" w:eastAsia="Times New Roman" w:hAnsiTheme="majorHAnsi" w:cstheme="majorHAnsi"/>
          <w:color w:val="000000" w:themeColor="text1"/>
        </w:rPr>
        <w:t xml:space="preserve">provided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the facility: </w:t>
      </w:r>
    </w:p>
    <w:p w14:paraId="2679E10C" w14:textId="77777777" w:rsidR="00A57547" w:rsidRPr="00A57547" w:rsidRDefault="00A57547" w:rsidP="00A57547">
      <w:pPr>
        <w:pStyle w:val="xmsolistparagraph"/>
        <w:ind w:left="360"/>
        <w:rPr>
          <w:rFonts w:asciiTheme="majorHAnsi" w:eastAsia="Times New Roman" w:hAnsiTheme="majorHAnsi" w:cstheme="majorHAnsi"/>
          <w:color w:val="000000" w:themeColor="text1"/>
        </w:rPr>
      </w:pPr>
    </w:p>
    <w:p w14:paraId="07096477" w14:textId="19FA9A4A" w:rsidR="007F10FE" w:rsidRPr="00A57547" w:rsidRDefault="0078503C" w:rsidP="002B765F">
      <w:pPr>
        <w:pStyle w:val="xmsolistparagraph"/>
        <w:numPr>
          <w:ilvl w:val="0"/>
          <w:numId w:val="36"/>
        </w:numPr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N</w:t>
      </w:r>
      <w:r w:rsidR="007F10FE" w:rsidRPr="00A57547">
        <w:rPr>
          <w:rFonts w:asciiTheme="majorHAnsi" w:hAnsiTheme="majorHAnsi" w:cstheme="majorHAnsi"/>
          <w:color w:val="000000" w:themeColor="text1"/>
        </w:rPr>
        <w:t>otifies MetroPlus</w:t>
      </w:r>
      <w:r w:rsidR="00F172ED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of both the admission and the initial treatment plan within </w:t>
      </w:r>
      <w:r w:rsidR="00B21B2E" w:rsidRPr="00A57547">
        <w:rPr>
          <w:rFonts w:asciiTheme="majorHAnsi" w:hAnsiTheme="majorHAnsi" w:cstheme="majorHAnsi"/>
          <w:color w:val="000000" w:themeColor="text1"/>
        </w:rPr>
        <w:t>two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business days of the admission</w:t>
      </w:r>
    </w:p>
    <w:p w14:paraId="0E5FE567" w14:textId="35370167" w:rsidR="007F10FE" w:rsidRPr="00A57547" w:rsidRDefault="0078503C" w:rsidP="007F10FE">
      <w:pPr>
        <w:pStyle w:val="xmsolistparagraph"/>
        <w:numPr>
          <w:ilvl w:val="0"/>
          <w:numId w:val="32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P</w:t>
      </w:r>
      <w:r w:rsidR="007F10FE" w:rsidRPr="00A57547">
        <w:rPr>
          <w:rFonts w:asciiTheme="majorHAnsi" w:hAnsiTheme="majorHAnsi" w:cstheme="majorHAnsi"/>
          <w:color w:val="000000" w:themeColor="text1"/>
        </w:rPr>
        <w:t>erforms daily clinical review of the member</w:t>
      </w:r>
    </w:p>
    <w:p w14:paraId="0FF04E6D" w14:textId="44F478E5" w:rsidR="007F10FE" w:rsidRPr="00A57547" w:rsidRDefault="0078503C" w:rsidP="007F10FE">
      <w:pPr>
        <w:pStyle w:val="xmsolistparagraph"/>
        <w:numPr>
          <w:ilvl w:val="0"/>
          <w:numId w:val="32"/>
        </w:numPr>
        <w:ind w:left="1440"/>
        <w:rPr>
          <w:rFonts w:asciiTheme="majorHAnsi" w:hAnsiTheme="majorHAnsi" w:cstheme="majorHAnsi"/>
          <w:color w:val="000000" w:themeColor="text1"/>
        </w:rPr>
      </w:pPr>
      <w:r w:rsidRPr="00A57547">
        <w:rPr>
          <w:rFonts w:asciiTheme="majorHAnsi" w:hAnsiTheme="majorHAnsi" w:cstheme="majorHAnsi"/>
          <w:color w:val="000000" w:themeColor="text1"/>
        </w:rPr>
        <w:t>P</w:t>
      </w:r>
      <w:r w:rsidR="007F10FE" w:rsidRPr="00A57547">
        <w:rPr>
          <w:rFonts w:asciiTheme="majorHAnsi" w:hAnsiTheme="majorHAnsi" w:cstheme="majorHAnsi"/>
          <w:color w:val="000000" w:themeColor="text1"/>
        </w:rPr>
        <w:t>articipates in periodic consultation with MetroPlus</w:t>
      </w:r>
      <w:r w:rsidR="00F172ED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to ensure that the facility is using the OMH approved evidence-based</w:t>
      </w:r>
      <w:r w:rsidR="00EE55FD" w:rsidRPr="00A57547">
        <w:rPr>
          <w:rFonts w:asciiTheme="majorHAnsi" w:hAnsiTheme="majorHAnsi" w:cstheme="majorHAnsi"/>
          <w:color w:val="000000" w:themeColor="text1"/>
        </w:rPr>
        <w:t>,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 and peer reviewed clinical review criteria used by MetroPlus</w:t>
      </w:r>
      <w:r w:rsidR="00C17D84">
        <w:rPr>
          <w:rFonts w:asciiTheme="majorHAnsi" w:hAnsiTheme="majorHAnsi" w:cstheme="majorHAnsi"/>
          <w:color w:val="000000" w:themeColor="text1"/>
        </w:rPr>
        <w:t>Health</w:t>
      </w:r>
      <w:r w:rsidR="007F10FE" w:rsidRPr="00A57547">
        <w:rPr>
          <w:rFonts w:asciiTheme="majorHAnsi" w:hAnsiTheme="majorHAnsi" w:cstheme="majorHAnsi"/>
          <w:color w:val="000000" w:themeColor="text1"/>
        </w:rPr>
        <w:t xml:space="preserve">. This is to ensure that the inpatient or residential care admission is medically necessary and appropriate for the age of the member. </w:t>
      </w:r>
    </w:p>
    <w:p w14:paraId="1682A327" w14:textId="77777777" w:rsidR="0078503C" w:rsidRPr="00A57547" w:rsidRDefault="0078503C" w:rsidP="00245359">
      <w:pPr>
        <w:pStyle w:val="xmsonormal"/>
        <w:rPr>
          <w:rFonts w:asciiTheme="majorHAnsi" w:hAnsiTheme="majorHAnsi" w:cstheme="majorHAnsi"/>
          <w:b/>
          <w:bCs/>
          <w:i/>
          <w:iCs/>
          <w:color w:val="000000" w:themeColor="text1"/>
        </w:rPr>
      </w:pPr>
    </w:p>
    <w:p w14:paraId="6E8F588C" w14:textId="77777777" w:rsidR="0078503C" w:rsidRPr="00A57547" w:rsidRDefault="0078503C" w:rsidP="00245359">
      <w:pPr>
        <w:pStyle w:val="xmsonormal"/>
        <w:rPr>
          <w:rFonts w:asciiTheme="majorHAnsi" w:hAnsiTheme="majorHAnsi" w:cstheme="majorHAnsi"/>
          <w:b/>
          <w:bCs/>
          <w:i/>
          <w:iCs/>
          <w:color w:val="000000" w:themeColor="text1"/>
        </w:rPr>
      </w:pPr>
    </w:p>
    <w:p w14:paraId="12EE9875" w14:textId="54168C86" w:rsidR="00245359" w:rsidRPr="00A57547" w:rsidRDefault="00245359" w:rsidP="00EE55FD">
      <w:pPr>
        <w:pStyle w:val="xmsonormal"/>
        <w:numPr>
          <w:ilvl w:val="0"/>
          <w:numId w:val="35"/>
        </w:numPr>
        <w:rPr>
          <w:rFonts w:asciiTheme="majorHAnsi" w:hAnsiTheme="majorHAnsi" w:cstheme="majorHAnsi"/>
          <w:b/>
          <w:bCs/>
          <w:i/>
          <w:iCs/>
          <w:color w:val="000000" w:themeColor="text1"/>
        </w:rPr>
      </w:pPr>
      <w:r w:rsidRPr="00A57547">
        <w:rPr>
          <w:rFonts w:asciiTheme="majorHAnsi" w:hAnsiTheme="majorHAnsi" w:cstheme="majorHAnsi"/>
          <w:b/>
          <w:bCs/>
          <w:i/>
          <w:iCs/>
          <w:color w:val="000000" w:themeColor="text1"/>
        </w:rPr>
        <w:t>Concurrent reviews may be conducted during the first 30 days if</w:t>
      </w:r>
      <w:r w:rsidR="00EE55FD" w:rsidRPr="00A57547">
        <w:rPr>
          <w:rFonts w:asciiTheme="majorHAnsi" w:hAnsiTheme="majorHAnsi" w:cstheme="majorHAnsi"/>
          <w:b/>
          <w:bCs/>
          <w:i/>
          <w:iCs/>
          <w:color w:val="000000" w:themeColor="text1"/>
        </w:rPr>
        <w:t>,</w:t>
      </w:r>
      <w:r w:rsidRPr="00A57547">
        <w:rPr>
          <w:rFonts w:asciiTheme="majorHAnsi" w:hAnsiTheme="majorHAnsi" w:cstheme="majorHAnsi"/>
          <w:b/>
          <w:bCs/>
          <w:i/>
          <w:iCs/>
          <w:color w:val="000000" w:themeColor="text1"/>
        </w:rPr>
        <w:t xml:space="preserve">   </w:t>
      </w:r>
    </w:p>
    <w:p w14:paraId="15041F6E" w14:textId="77777777" w:rsidR="00903CA9" w:rsidRPr="00A57547" w:rsidRDefault="00903CA9" w:rsidP="00245359">
      <w:pPr>
        <w:pStyle w:val="xmsonormal"/>
        <w:rPr>
          <w:rFonts w:asciiTheme="majorHAnsi" w:hAnsiTheme="majorHAnsi" w:cstheme="majorHAnsi"/>
          <w:color w:val="000000" w:themeColor="text1"/>
        </w:rPr>
      </w:pPr>
    </w:p>
    <w:p w14:paraId="665B74BA" w14:textId="08F4FD08" w:rsidR="00245359" w:rsidRPr="00A57547" w:rsidRDefault="00EE55FD" w:rsidP="00245359">
      <w:pPr>
        <w:pStyle w:val="xmsolistparagraph"/>
        <w:numPr>
          <w:ilvl w:val="0"/>
          <w:numId w:val="28"/>
        </w:numPr>
        <w:rPr>
          <w:rFonts w:asciiTheme="majorHAnsi" w:eastAsia="Times New Roman" w:hAnsiTheme="majorHAnsi" w:cstheme="majorHAnsi"/>
          <w:color w:val="000000" w:themeColor="text1"/>
        </w:rPr>
      </w:pPr>
      <w:r w:rsidRPr="00A57547">
        <w:rPr>
          <w:rFonts w:asciiTheme="majorHAnsi" w:eastAsia="Times New Roman" w:hAnsiTheme="majorHAnsi" w:cstheme="majorHAnsi"/>
          <w:color w:val="000000" w:themeColor="text1"/>
        </w:rPr>
        <w:t>The member meets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 </w:t>
      </w:r>
      <w:r w:rsidRPr="00A57547">
        <w:rPr>
          <w:rFonts w:asciiTheme="majorHAnsi" w:eastAsia="Times New Roman" w:hAnsiTheme="majorHAnsi" w:cstheme="majorHAnsi"/>
          <w:color w:val="000000" w:themeColor="text1"/>
        </w:rPr>
        <w:t xml:space="preserve">the 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clinical criteria designated by </w:t>
      </w:r>
      <w:r w:rsidR="00775906" w:rsidRPr="00A57547">
        <w:rPr>
          <w:rFonts w:asciiTheme="majorHAnsi" w:eastAsia="Times New Roman" w:hAnsiTheme="majorHAnsi" w:cstheme="majorHAnsi"/>
          <w:color w:val="000000" w:themeColor="text1"/>
        </w:rPr>
        <w:t xml:space="preserve">the 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>OMH</w:t>
      </w:r>
      <w:r w:rsidR="00775906" w:rsidRPr="00A57547">
        <w:rPr>
          <w:rFonts w:asciiTheme="majorHAnsi" w:eastAsia="Times New Roman" w:hAnsiTheme="majorHAnsi" w:cstheme="majorHAnsi"/>
          <w:color w:val="000000" w:themeColor="text1"/>
        </w:rPr>
        <w:t>,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 or </w:t>
      </w:r>
    </w:p>
    <w:p w14:paraId="5D99F490" w14:textId="7538377A" w:rsidR="00245359" w:rsidRPr="00A57547" w:rsidRDefault="00174EF8" w:rsidP="00245359">
      <w:pPr>
        <w:pStyle w:val="xmsolistparagraph"/>
        <w:numPr>
          <w:ilvl w:val="0"/>
          <w:numId w:val="28"/>
        </w:numPr>
        <w:rPr>
          <w:rFonts w:asciiTheme="majorHAnsi" w:eastAsia="Times New Roman" w:hAnsiTheme="majorHAnsi" w:cstheme="majorHAnsi"/>
          <w:color w:val="000000" w:themeColor="text1"/>
        </w:rPr>
      </w:pPr>
      <w:r w:rsidRPr="00A57547">
        <w:rPr>
          <w:rFonts w:asciiTheme="majorHAnsi" w:eastAsia="Times New Roman" w:hAnsiTheme="majorHAnsi" w:cstheme="majorHAnsi"/>
          <w:color w:val="000000" w:themeColor="text1"/>
        </w:rPr>
        <w:t>I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f the member is admitted to a hospital or facility which has been designated by the OMH for concurrent review, in consultation with the </w:t>
      </w:r>
      <w:r w:rsidR="005A050D" w:rsidRPr="00A57547">
        <w:rPr>
          <w:rFonts w:asciiTheme="majorHAnsi" w:eastAsia="Times New Roman" w:hAnsiTheme="majorHAnsi" w:cstheme="majorHAnsi"/>
          <w:color w:val="000000" w:themeColor="text1"/>
        </w:rPr>
        <w:t>D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epartment of </w:t>
      </w:r>
      <w:r w:rsidR="005A050D" w:rsidRPr="00A57547">
        <w:rPr>
          <w:rFonts w:asciiTheme="majorHAnsi" w:eastAsia="Times New Roman" w:hAnsiTheme="majorHAnsi" w:cstheme="majorHAnsi"/>
          <w:color w:val="000000" w:themeColor="text1"/>
        </w:rPr>
        <w:t>H</w:t>
      </w:r>
      <w:r w:rsidR="00245359" w:rsidRPr="00A57547">
        <w:rPr>
          <w:rFonts w:asciiTheme="majorHAnsi" w:eastAsia="Times New Roman" w:hAnsiTheme="majorHAnsi" w:cstheme="majorHAnsi"/>
          <w:color w:val="000000" w:themeColor="text1"/>
        </w:rPr>
        <w:t xml:space="preserve">ealth (DOH) and the Department of Financial Services (DFS).  </w:t>
      </w:r>
    </w:p>
    <w:p w14:paraId="27A1F41B" w14:textId="77777777" w:rsidR="0078503C" w:rsidRPr="00A57547" w:rsidRDefault="0078503C" w:rsidP="0078503C">
      <w:pPr>
        <w:rPr>
          <w:rStyle w:val="ui-provider"/>
          <w:color w:val="000000" w:themeColor="text1"/>
          <w:szCs w:val="22"/>
        </w:rPr>
      </w:pPr>
    </w:p>
    <w:p w14:paraId="16F5F308" w14:textId="77777777" w:rsidR="003F6431" w:rsidRPr="00A57547" w:rsidRDefault="003F6431" w:rsidP="0078503C">
      <w:pPr>
        <w:rPr>
          <w:rStyle w:val="ui-provider"/>
          <w:color w:val="000000" w:themeColor="text1"/>
          <w:szCs w:val="22"/>
        </w:rPr>
      </w:pPr>
    </w:p>
    <w:p w14:paraId="1C5E5878" w14:textId="181CE5A0" w:rsidR="0078503C" w:rsidRPr="0078503C" w:rsidRDefault="0078503C" w:rsidP="0078503C">
      <w:pPr>
        <w:rPr>
          <w:i/>
          <w:iCs/>
          <w:color w:val="2E74B5" w:themeColor="accent1" w:themeShade="BF"/>
          <w:szCs w:val="22"/>
        </w:rPr>
      </w:pPr>
      <w:r w:rsidRPr="0078503C">
        <w:rPr>
          <w:rStyle w:val="ui-provider"/>
          <w:color w:val="auto"/>
          <w:szCs w:val="22"/>
        </w:rPr>
        <w:t xml:space="preserve">If you have any questions regarding this memo, please contact MetroPlusHealth at: </w:t>
      </w:r>
      <w:r w:rsidRPr="0078503C">
        <w:rPr>
          <w:rStyle w:val="ui-provider"/>
          <w:color w:val="2E74B5" w:themeColor="accent1" w:themeShade="BF"/>
          <w:szCs w:val="22"/>
          <w:u w:val="single"/>
        </w:rPr>
        <w:t>ProviderRelationsOps@metroplus.org</w:t>
      </w:r>
      <w:r w:rsidRPr="0078503C">
        <w:rPr>
          <w:rStyle w:val="ui-provider"/>
          <w:color w:val="2E74B5" w:themeColor="accent1" w:themeShade="BF"/>
          <w:szCs w:val="22"/>
        </w:rPr>
        <w:t>.</w:t>
      </w:r>
    </w:p>
    <w:p w14:paraId="748F1DA9" w14:textId="77777777" w:rsidR="00903CA9" w:rsidRPr="0078503C" w:rsidRDefault="00903CA9" w:rsidP="00903CA9">
      <w:pPr>
        <w:rPr>
          <w:rFonts w:cs="Arial"/>
          <w:szCs w:val="22"/>
        </w:rPr>
      </w:pPr>
    </w:p>
    <w:p w14:paraId="7B95125D" w14:textId="426695D6" w:rsidR="00903CA9" w:rsidRPr="0078503C" w:rsidRDefault="00903CA9" w:rsidP="00903CA9">
      <w:pPr>
        <w:rPr>
          <w:rFonts w:cs="Arial"/>
          <w:szCs w:val="22"/>
        </w:rPr>
      </w:pPr>
      <w:r w:rsidRPr="0078503C">
        <w:rPr>
          <w:rFonts w:cs="Arial"/>
          <w:szCs w:val="22"/>
        </w:rPr>
        <w:t>Thank you.</w:t>
      </w:r>
    </w:p>
    <w:p w14:paraId="20EE7BCA" w14:textId="77777777" w:rsidR="00903CA9" w:rsidRPr="0078503C" w:rsidRDefault="00903CA9" w:rsidP="00903CA9">
      <w:pPr>
        <w:rPr>
          <w:rFonts w:cs="Arial"/>
          <w:szCs w:val="22"/>
        </w:rPr>
      </w:pPr>
      <w:r w:rsidRPr="0078503C">
        <w:rPr>
          <w:rFonts w:cs="Arial"/>
          <w:szCs w:val="22"/>
        </w:rPr>
        <w:t>MetroPlusHealth</w:t>
      </w:r>
    </w:p>
    <w:p w14:paraId="44E0B1A1" w14:textId="77777777" w:rsidR="00E44F56" w:rsidRPr="00903CA9" w:rsidRDefault="00E44F56" w:rsidP="0049043E">
      <w:pPr>
        <w:rPr>
          <w:rFonts w:asciiTheme="majorHAnsi" w:hAnsiTheme="majorHAnsi" w:cstheme="majorHAnsi"/>
          <w:sz w:val="24"/>
          <w:shd w:val="clear" w:color="auto" w:fill="FFFFFF"/>
        </w:rPr>
      </w:pPr>
    </w:p>
    <w:sectPr w:rsidR="00E44F56" w:rsidRPr="00903CA9" w:rsidSect="00DE6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353" w14:textId="77777777" w:rsidR="00086AC4" w:rsidRDefault="00086AC4" w:rsidP="00596DD1">
      <w:r>
        <w:separator/>
      </w:r>
    </w:p>
  </w:endnote>
  <w:endnote w:type="continuationSeparator" w:id="0">
    <w:p w14:paraId="11E826DD" w14:textId="77777777" w:rsidR="00086AC4" w:rsidRDefault="00086AC4" w:rsidP="0059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CE63" w14:textId="4423CC3F" w:rsidR="00F06E01" w:rsidRDefault="00F06E01" w:rsidP="009856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BAE041F" w14:textId="77777777" w:rsidR="00F06E01" w:rsidRDefault="00F06E01" w:rsidP="00F06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2839" w14:textId="4AE9A7DF" w:rsidR="00F06E01" w:rsidRDefault="00F06E01" w:rsidP="009856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1A1A19" w14:textId="0C6A338B" w:rsidR="00F06E01" w:rsidRPr="00F206E5" w:rsidRDefault="00F206E5" w:rsidP="00F06E01">
    <w:pPr>
      <w:pStyle w:val="Footer"/>
      <w:ind w:right="360"/>
      <w:rPr>
        <w:sz w:val="16"/>
        <w:szCs w:val="16"/>
      </w:rPr>
    </w:pPr>
    <w:r w:rsidRPr="00F206E5">
      <w:rPr>
        <w:sz w:val="16"/>
        <w:szCs w:val="16"/>
      </w:rPr>
      <w:t xml:space="preserve">PRV </w:t>
    </w:r>
    <w:r w:rsidRPr="00F206E5">
      <w:rPr>
        <w:sz w:val="16"/>
        <w:szCs w:val="16"/>
      </w:rPr>
      <w:t>24.</w:t>
    </w:r>
    <w:r w:rsidR="005B7042">
      <w:rPr>
        <w:sz w:val="16"/>
        <w:szCs w:val="16"/>
      </w:rPr>
      <w:t>059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6DC9" w14:textId="31ECF60C" w:rsidR="00F06E01" w:rsidRDefault="00F06E01" w:rsidP="009856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83B570" w14:textId="77777777" w:rsidR="00F06E01" w:rsidRDefault="00F06E01" w:rsidP="00F06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E6D7" w14:textId="77777777" w:rsidR="00086AC4" w:rsidRDefault="00086AC4" w:rsidP="00596DD1">
      <w:r>
        <w:separator/>
      </w:r>
    </w:p>
  </w:footnote>
  <w:footnote w:type="continuationSeparator" w:id="0">
    <w:p w14:paraId="4A3A71EF" w14:textId="77777777" w:rsidR="00086AC4" w:rsidRDefault="00086AC4" w:rsidP="0059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2C92" w14:textId="77777777" w:rsidR="00296924" w:rsidRDefault="00296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CF31"/>
      <w:tblLook w:val="04A0" w:firstRow="1" w:lastRow="0" w:firstColumn="1" w:lastColumn="0" w:noHBand="0" w:noVBand="1"/>
    </w:tblPr>
    <w:tblGrid>
      <w:gridCol w:w="9350"/>
    </w:tblGrid>
    <w:tr w:rsidR="009C4128" w14:paraId="2E3AD64F" w14:textId="77777777" w:rsidTr="009C4128">
      <w:tc>
        <w:tcPr>
          <w:tcW w:w="9350" w:type="dxa"/>
          <w:shd w:val="clear" w:color="auto" w:fill="FFCF31"/>
        </w:tcPr>
        <w:p w14:paraId="6F2309C6" w14:textId="77777777" w:rsidR="009C4128" w:rsidRDefault="009C4128" w:rsidP="009C4128">
          <w:pPr>
            <w:pStyle w:val="Heading1"/>
            <w:spacing w:before="0" w:beforeAutospacing="0" w:after="0"/>
            <w:jc w:val="both"/>
          </w:pPr>
          <w:r w:rsidRPr="009C4128">
            <w:rPr>
              <w:noProof/>
            </w:rPr>
            <w:drawing>
              <wp:anchor distT="0" distB="0" distL="0" distR="114300" simplePos="0" relativeHeight="251658240" behindDoc="0" locked="0" layoutInCell="1" allowOverlap="1" wp14:anchorId="223C6566" wp14:editId="23FA193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3569589" cy="822960"/>
                <wp:effectExtent l="0" t="0" r="0" b="0"/>
                <wp:wrapSquare wrapText="bothSides"/>
                <wp:docPr id="92" name="Picture 92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black, darkness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589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60E0E1" w14:textId="5EC2B83E" w:rsidR="00596DD1" w:rsidRDefault="00596DD1" w:rsidP="00296924">
    <w:pPr>
      <w:pStyle w:val="Heading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AAF8" w14:textId="7912B5E0" w:rsidR="00F06E01" w:rsidRDefault="008B3640" w:rsidP="00F06E01">
    <w:pPr>
      <w:pStyle w:val="Header"/>
      <w:ind w:right="36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61F47D0" wp14:editId="26D92CA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45095" cy="1618615"/>
          <wp:effectExtent l="0" t="0" r="0" b="0"/>
          <wp:wrapNone/>
          <wp:docPr id="93" name="Picture 93" descr="A picture containing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095" cy="161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3C7E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8AC6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C09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B6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2401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A8D4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14B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6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63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9E9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7ECF"/>
    <w:multiLevelType w:val="hybridMultilevel"/>
    <w:tmpl w:val="2FE86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972218"/>
    <w:multiLevelType w:val="hybridMultilevel"/>
    <w:tmpl w:val="755CE32E"/>
    <w:lvl w:ilvl="0" w:tplc="6F1CF1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4480"/>
    <w:multiLevelType w:val="hybridMultilevel"/>
    <w:tmpl w:val="3D3EF1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72937"/>
    <w:multiLevelType w:val="multilevel"/>
    <w:tmpl w:val="B26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EA1D3E"/>
    <w:multiLevelType w:val="multilevel"/>
    <w:tmpl w:val="275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202B8E"/>
    <w:multiLevelType w:val="hybridMultilevel"/>
    <w:tmpl w:val="67EAF378"/>
    <w:lvl w:ilvl="0" w:tplc="6F1CF1F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1A2783"/>
    <w:multiLevelType w:val="multilevel"/>
    <w:tmpl w:val="E8D00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A4169F"/>
    <w:multiLevelType w:val="multilevel"/>
    <w:tmpl w:val="05422AD2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8779C"/>
    <w:multiLevelType w:val="hybridMultilevel"/>
    <w:tmpl w:val="F7144736"/>
    <w:lvl w:ilvl="0" w:tplc="6F1CF1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5454"/>
    <w:multiLevelType w:val="hybridMultilevel"/>
    <w:tmpl w:val="C0724DF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2D5207F"/>
    <w:multiLevelType w:val="hybridMultilevel"/>
    <w:tmpl w:val="DB26E1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886DDD"/>
    <w:multiLevelType w:val="hybridMultilevel"/>
    <w:tmpl w:val="D7C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C729B"/>
    <w:multiLevelType w:val="multilevel"/>
    <w:tmpl w:val="CA9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2763A"/>
    <w:multiLevelType w:val="hybridMultilevel"/>
    <w:tmpl w:val="A0BA87C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0B5EFE"/>
    <w:multiLevelType w:val="hybridMultilevel"/>
    <w:tmpl w:val="99DAE9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50709D"/>
    <w:multiLevelType w:val="hybridMultilevel"/>
    <w:tmpl w:val="F19CB1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F314A"/>
    <w:multiLevelType w:val="multilevel"/>
    <w:tmpl w:val="412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64F47"/>
    <w:multiLevelType w:val="hybridMultilevel"/>
    <w:tmpl w:val="40AA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82326"/>
    <w:multiLevelType w:val="hybridMultilevel"/>
    <w:tmpl w:val="C4848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A4A95"/>
    <w:multiLevelType w:val="multilevel"/>
    <w:tmpl w:val="0409001D"/>
    <w:styleLink w:val="BulletedList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lowerLetter"/>
      <w:lvlText w:val="%2)"/>
      <w:lvlJc w:val="left"/>
      <w:rPr>
        <w:rFonts w:ascii="Arial" w:hAnsi="Arial"/>
        <w:sz w:val="22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ascii="Arial" w:hAnsi="Arial" w:hint="default"/>
        <w:color w:val="0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46137A"/>
    <w:multiLevelType w:val="multilevel"/>
    <w:tmpl w:val="D7EE3D5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A15DF"/>
    <w:multiLevelType w:val="hybridMultilevel"/>
    <w:tmpl w:val="7A081BE6"/>
    <w:lvl w:ilvl="0" w:tplc="6F1CF1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2542E"/>
    <w:multiLevelType w:val="multilevel"/>
    <w:tmpl w:val="5D1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19252E"/>
    <w:multiLevelType w:val="hybridMultilevel"/>
    <w:tmpl w:val="55AACDB4"/>
    <w:lvl w:ilvl="0" w:tplc="6F1CF1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885563">
    <w:abstractNumId w:val="27"/>
  </w:num>
  <w:num w:numId="2" w16cid:durableId="1167789084">
    <w:abstractNumId w:val="33"/>
  </w:num>
  <w:num w:numId="3" w16cid:durableId="893810006">
    <w:abstractNumId w:val="15"/>
  </w:num>
  <w:num w:numId="4" w16cid:durableId="845708598">
    <w:abstractNumId w:val="0"/>
  </w:num>
  <w:num w:numId="5" w16cid:durableId="202055855">
    <w:abstractNumId w:val="1"/>
  </w:num>
  <w:num w:numId="6" w16cid:durableId="6952444">
    <w:abstractNumId w:val="2"/>
  </w:num>
  <w:num w:numId="7" w16cid:durableId="1402361923">
    <w:abstractNumId w:val="3"/>
  </w:num>
  <w:num w:numId="8" w16cid:durableId="591738404">
    <w:abstractNumId w:val="8"/>
  </w:num>
  <w:num w:numId="9" w16cid:durableId="1311792155">
    <w:abstractNumId w:val="4"/>
  </w:num>
  <w:num w:numId="10" w16cid:durableId="72170164">
    <w:abstractNumId w:val="5"/>
  </w:num>
  <w:num w:numId="11" w16cid:durableId="684475252">
    <w:abstractNumId w:val="6"/>
  </w:num>
  <w:num w:numId="12" w16cid:durableId="1256398515">
    <w:abstractNumId w:val="7"/>
  </w:num>
  <w:num w:numId="13" w16cid:durableId="55982472">
    <w:abstractNumId w:val="9"/>
  </w:num>
  <w:num w:numId="14" w16cid:durableId="34624728">
    <w:abstractNumId w:val="29"/>
  </w:num>
  <w:num w:numId="15" w16cid:durableId="1821265396">
    <w:abstractNumId w:val="31"/>
  </w:num>
  <w:num w:numId="16" w16cid:durableId="445659349">
    <w:abstractNumId w:val="11"/>
  </w:num>
  <w:num w:numId="17" w16cid:durableId="1331253051">
    <w:abstractNumId w:val="18"/>
  </w:num>
  <w:num w:numId="18" w16cid:durableId="1798832880">
    <w:abstractNumId w:val="32"/>
  </w:num>
  <w:num w:numId="19" w16cid:durableId="1463114479">
    <w:abstractNumId w:val="21"/>
  </w:num>
  <w:num w:numId="20" w16cid:durableId="1881820850">
    <w:abstractNumId w:val="24"/>
  </w:num>
  <w:num w:numId="21" w16cid:durableId="909729848">
    <w:abstractNumId w:val="12"/>
  </w:num>
  <w:num w:numId="22" w16cid:durableId="580599287">
    <w:abstractNumId w:val="32"/>
  </w:num>
  <w:num w:numId="23" w16cid:durableId="845437598">
    <w:abstractNumId w:val="23"/>
  </w:num>
  <w:num w:numId="24" w16cid:durableId="278922279">
    <w:abstractNumId w:val="23"/>
  </w:num>
  <w:num w:numId="25" w16cid:durableId="459417631">
    <w:abstractNumId w:val="28"/>
  </w:num>
  <w:num w:numId="26" w16cid:durableId="1185482881">
    <w:abstractNumId w:val="14"/>
  </w:num>
  <w:num w:numId="27" w16cid:durableId="717626311">
    <w:abstractNumId w:val="26"/>
  </w:num>
  <w:num w:numId="28" w16cid:durableId="628173232">
    <w:abstractNumId w:val="30"/>
  </w:num>
  <w:num w:numId="29" w16cid:durableId="70659272">
    <w:abstractNumId w:val="22"/>
  </w:num>
  <w:num w:numId="30" w16cid:durableId="1563951156">
    <w:abstractNumId w:val="16"/>
  </w:num>
  <w:num w:numId="31" w16cid:durableId="981732190">
    <w:abstractNumId w:val="13"/>
  </w:num>
  <w:num w:numId="32" w16cid:durableId="1224102196">
    <w:abstractNumId w:val="17"/>
  </w:num>
  <w:num w:numId="33" w16cid:durableId="1217545254">
    <w:abstractNumId w:val="19"/>
  </w:num>
  <w:num w:numId="34" w16cid:durableId="1722824311">
    <w:abstractNumId w:val="20"/>
  </w:num>
  <w:num w:numId="35" w16cid:durableId="1340811106">
    <w:abstractNumId w:val="10"/>
  </w:num>
  <w:num w:numId="36" w16cid:durableId="18285460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4"/>
    <w:rsid w:val="000218D9"/>
    <w:rsid w:val="00023AF8"/>
    <w:rsid w:val="00034346"/>
    <w:rsid w:val="000707AA"/>
    <w:rsid w:val="00086AC4"/>
    <w:rsid w:val="000963C5"/>
    <w:rsid w:val="000A0231"/>
    <w:rsid w:val="000C4A54"/>
    <w:rsid w:val="00101B26"/>
    <w:rsid w:val="00101D46"/>
    <w:rsid w:val="00101D75"/>
    <w:rsid w:val="00102D2B"/>
    <w:rsid w:val="00103A4B"/>
    <w:rsid w:val="00146D68"/>
    <w:rsid w:val="001652D2"/>
    <w:rsid w:val="00174EF8"/>
    <w:rsid w:val="00187214"/>
    <w:rsid w:val="0019572C"/>
    <w:rsid w:val="0019794E"/>
    <w:rsid w:val="001A3D87"/>
    <w:rsid w:val="002211C1"/>
    <w:rsid w:val="002219FB"/>
    <w:rsid w:val="0023099D"/>
    <w:rsid w:val="002322AF"/>
    <w:rsid w:val="00245359"/>
    <w:rsid w:val="00296924"/>
    <w:rsid w:val="002A0AF4"/>
    <w:rsid w:val="002A0F38"/>
    <w:rsid w:val="002B5E46"/>
    <w:rsid w:val="002B765F"/>
    <w:rsid w:val="002E6F9C"/>
    <w:rsid w:val="002F2405"/>
    <w:rsid w:val="00306C97"/>
    <w:rsid w:val="00313777"/>
    <w:rsid w:val="00316E36"/>
    <w:rsid w:val="0035414A"/>
    <w:rsid w:val="00373090"/>
    <w:rsid w:val="003736C6"/>
    <w:rsid w:val="003759DF"/>
    <w:rsid w:val="0038654F"/>
    <w:rsid w:val="003C04FA"/>
    <w:rsid w:val="003C0AF2"/>
    <w:rsid w:val="003F6431"/>
    <w:rsid w:val="00401A2F"/>
    <w:rsid w:val="00403CED"/>
    <w:rsid w:val="00411BC6"/>
    <w:rsid w:val="00421072"/>
    <w:rsid w:val="00424609"/>
    <w:rsid w:val="00456B69"/>
    <w:rsid w:val="004665BA"/>
    <w:rsid w:val="004751D6"/>
    <w:rsid w:val="0049043E"/>
    <w:rsid w:val="00496731"/>
    <w:rsid w:val="004B578F"/>
    <w:rsid w:val="004B5BDE"/>
    <w:rsid w:val="004C7431"/>
    <w:rsid w:val="004F5B9E"/>
    <w:rsid w:val="0051320D"/>
    <w:rsid w:val="00522310"/>
    <w:rsid w:val="00547716"/>
    <w:rsid w:val="00550DB0"/>
    <w:rsid w:val="00552C7A"/>
    <w:rsid w:val="00563204"/>
    <w:rsid w:val="00574FE7"/>
    <w:rsid w:val="0058678F"/>
    <w:rsid w:val="00594808"/>
    <w:rsid w:val="00596DD1"/>
    <w:rsid w:val="005979DE"/>
    <w:rsid w:val="005A050D"/>
    <w:rsid w:val="005B7042"/>
    <w:rsid w:val="005C6E86"/>
    <w:rsid w:val="005E07D6"/>
    <w:rsid w:val="005E32E7"/>
    <w:rsid w:val="005E56E7"/>
    <w:rsid w:val="00616559"/>
    <w:rsid w:val="00633554"/>
    <w:rsid w:val="006723CF"/>
    <w:rsid w:val="00686CE0"/>
    <w:rsid w:val="006A14A6"/>
    <w:rsid w:val="006A56BF"/>
    <w:rsid w:val="006C7A37"/>
    <w:rsid w:val="006E1EFD"/>
    <w:rsid w:val="006E24EF"/>
    <w:rsid w:val="006E72F4"/>
    <w:rsid w:val="006F0ECB"/>
    <w:rsid w:val="006F7247"/>
    <w:rsid w:val="006F7FDB"/>
    <w:rsid w:val="00704B0F"/>
    <w:rsid w:val="00710D5D"/>
    <w:rsid w:val="007208E3"/>
    <w:rsid w:val="00775906"/>
    <w:rsid w:val="007761A8"/>
    <w:rsid w:val="00780771"/>
    <w:rsid w:val="0078503C"/>
    <w:rsid w:val="00786686"/>
    <w:rsid w:val="007A6AF4"/>
    <w:rsid w:val="007D6FB1"/>
    <w:rsid w:val="007E77BC"/>
    <w:rsid w:val="007F10FE"/>
    <w:rsid w:val="00812F33"/>
    <w:rsid w:val="00824FF5"/>
    <w:rsid w:val="0082654A"/>
    <w:rsid w:val="008651FC"/>
    <w:rsid w:val="008A3540"/>
    <w:rsid w:val="008B3640"/>
    <w:rsid w:val="00903CA9"/>
    <w:rsid w:val="009328EB"/>
    <w:rsid w:val="00935F70"/>
    <w:rsid w:val="00977BCC"/>
    <w:rsid w:val="00992222"/>
    <w:rsid w:val="009B61B9"/>
    <w:rsid w:val="009C0886"/>
    <w:rsid w:val="009C4128"/>
    <w:rsid w:val="00A03EC2"/>
    <w:rsid w:val="00A27AAA"/>
    <w:rsid w:val="00A361FF"/>
    <w:rsid w:val="00A57547"/>
    <w:rsid w:val="00A727E4"/>
    <w:rsid w:val="00A805AB"/>
    <w:rsid w:val="00A80B65"/>
    <w:rsid w:val="00A95CA2"/>
    <w:rsid w:val="00AB6D0B"/>
    <w:rsid w:val="00AB7788"/>
    <w:rsid w:val="00AD0674"/>
    <w:rsid w:val="00AD1945"/>
    <w:rsid w:val="00AE27F9"/>
    <w:rsid w:val="00B01707"/>
    <w:rsid w:val="00B21B2E"/>
    <w:rsid w:val="00B41B82"/>
    <w:rsid w:val="00B575AB"/>
    <w:rsid w:val="00B92182"/>
    <w:rsid w:val="00BA1725"/>
    <w:rsid w:val="00BF5FA9"/>
    <w:rsid w:val="00C00CD8"/>
    <w:rsid w:val="00C02910"/>
    <w:rsid w:val="00C17D84"/>
    <w:rsid w:val="00C300EA"/>
    <w:rsid w:val="00C3657C"/>
    <w:rsid w:val="00C500B8"/>
    <w:rsid w:val="00C832A0"/>
    <w:rsid w:val="00CA0F7B"/>
    <w:rsid w:val="00CD587A"/>
    <w:rsid w:val="00D0035A"/>
    <w:rsid w:val="00D03FE1"/>
    <w:rsid w:val="00D04AB3"/>
    <w:rsid w:val="00D15948"/>
    <w:rsid w:val="00D20A67"/>
    <w:rsid w:val="00D36B33"/>
    <w:rsid w:val="00D61931"/>
    <w:rsid w:val="00D6511F"/>
    <w:rsid w:val="00D87A12"/>
    <w:rsid w:val="00DA1E45"/>
    <w:rsid w:val="00DB0FED"/>
    <w:rsid w:val="00DE623E"/>
    <w:rsid w:val="00E039C2"/>
    <w:rsid w:val="00E401CC"/>
    <w:rsid w:val="00E44F56"/>
    <w:rsid w:val="00E640DA"/>
    <w:rsid w:val="00E80866"/>
    <w:rsid w:val="00E81BF1"/>
    <w:rsid w:val="00EA0355"/>
    <w:rsid w:val="00EA219E"/>
    <w:rsid w:val="00EB240D"/>
    <w:rsid w:val="00EB6573"/>
    <w:rsid w:val="00EC4F56"/>
    <w:rsid w:val="00ED4576"/>
    <w:rsid w:val="00EE10AB"/>
    <w:rsid w:val="00EE55FD"/>
    <w:rsid w:val="00EF0AD9"/>
    <w:rsid w:val="00F00EFE"/>
    <w:rsid w:val="00F06E01"/>
    <w:rsid w:val="00F1168D"/>
    <w:rsid w:val="00F172ED"/>
    <w:rsid w:val="00F206E5"/>
    <w:rsid w:val="00F525F8"/>
    <w:rsid w:val="00FB3105"/>
    <w:rsid w:val="00FC24F3"/>
    <w:rsid w:val="00FC4AB7"/>
    <w:rsid w:val="00FD1501"/>
    <w:rsid w:val="00FD1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DC00E"/>
  <w14:defaultImageDpi w14:val="32767"/>
  <w15:chartTrackingRefBased/>
  <w15:docId w15:val="{0DBEEC25-1B52-5745-8F69-E2F47A24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Default Paragraph Font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06E01"/>
    <w:pPr>
      <w:suppressAutoHyphens/>
      <w:spacing w:after="120"/>
    </w:pPr>
    <w:rPr>
      <w:rFonts w:ascii="Arial" w:hAnsi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06E01"/>
    <w:pPr>
      <w:keepNext/>
      <w:keepLines/>
      <w:tabs>
        <w:tab w:val="center" w:pos="4680"/>
        <w:tab w:val="right" w:pos="9360"/>
      </w:tabs>
      <w:spacing w:before="100" w:beforeAutospacing="1"/>
      <w:outlineLvl w:val="0"/>
    </w:pPr>
    <w:rPr>
      <w:rFonts w:eastAsia="Times New Roman" w:cs="Times New Roman (Headings CS)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00CD8"/>
    <w:pPr>
      <w:outlineLvl w:val="1"/>
    </w:pPr>
    <w:rPr>
      <w:rFonts w:cs="Arial"/>
      <w:caps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F06E01"/>
    <w:pPr>
      <w:keepNext/>
      <w:keepLines/>
      <w:spacing w:before="120" w:line="360" w:lineRule="auto"/>
      <w:outlineLvl w:val="2"/>
    </w:pPr>
    <w:rPr>
      <w:rFonts w:eastAsia="Times New Roman" w:cs="Times New Roman (Headings CS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rsid w:val="00CD587A"/>
    <w:rPr>
      <w:sz w:val="24"/>
      <w:szCs w:val="24"/>
    </w:rPr>
  </w:style>
  <w:style w:type="character" w:customStyle="1" w:styleId="Heading1Char">
    <w:name w:val="Heading 1 Char"/>
    <w:link w:val="Heading1"/>
    <w:rsid w:val="00F06E01"/>
    <w:rPr>
      <w:rFonts w:ascii="Arial" w:eastAsia="Times New Roman" w:hAnsi="Arial" w:cs="Times New Roman (Headings CS)"/>
      <w:b/>
      <w:caps/>
      <w:color w:val="000000"/>
      <w:sz w:val="28"/>
      <w:szCs w:val="32"/>
    </w:rPr>
  </w:style>
  <w:style w:type="character" w:customStyle="1" w:styleId="Heading3Char">
    <w:name w:val="Heading 3 Char"/>
    <w:link w:val="Heading3"/>
    <w:rsid w:val="00F06E01"/>
    <w:rPr>
      <w:rFonts w:ascii="Arial" w:eastAsia="Times New Roman" w:hAnsi="Arial" w:cs="Times New Roman (Headings CS)"/>
      <w:b/>
      <w:color w:val="000000"/>
      <w:sz w:val="24"/>
      <w:szCs w:val="24"/>
    </w:rPr>
  </w:style>
  <w:style w:type="character" w:customStyle="1" w:styleId="Heading2Char">
    <w:name w:val="Heading 2 Char"/>
    <w:link w:val="Heading2"/>
    <w:rsid w:val="00C00CD8"/>
    <w:rPr>
      <w:rFonts w:ascii="Arial" w:hAnsi="Arial" w:cs="Arial"/>
      <w:caps/>
      <w:color w:val="000000"/>
      <w:sz w:val="28"/>
      <w:szCs w:val="22"/>
    </w:rPr>
  </w:style>
  <w:style w:type="paragraph" w:styleId="Header">
    <w:name w:val="header"/>
    <w:basedOn w:val="Normal"/>
    <w:link w:val="HeaderChar"/>
    <w:rsid w:val="00F06E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rsid w:val="00F06E01"/>
    <w:rPr>
      <w:rFonts w:ascii="Arial" w:hAnsi="Arial"/>
      <w:color w:val="000000"/>
      <w:sz w:val="22"/>
      <w:szCs w:val="24"/>
    </w:rPr>
  </w:style>
  <w:style w:type="paragraph" w:styleId="Footer">
    <w:name w:val="footer"/>
    <w:basedOn w:val="Normal"/>
    <w:link w:val="FooterChar"/>
    <w:rsid w:val="00F06E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F06E01"/>
    <w:rPr>
      <w:rFonts w:ascii="Arial" w:hAnsi="Arial"/>
      <w:color w:val="000000"/>
      <w:sz w:val="22"/>
      <w:szCs w:val="24"/>
    </w:rPr>
  </w:style>
  <w:style w:type="character" w:styleId="PageNumber">
    <w:name w:val="page number"/>
    <w:basedOn w:val="DefaultParagraphFont"/>
    <w:rsid w:val="00F06E01"/>
  </w:style>
  <w:style w:type="numbering" w:customStyle="1" w:styleId="BulletedList">
    <w:name w:val="Bulleted List"/>
    <w:basedOn w:val="NoList"/>
    <w:uiPriority w:val="99"/>
    <w:rsid w:val="00F06E01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F06E01"/>
    <w:pPr>
      <w:ind w:left="720"/>
      <w:contextualSpacing/>
    </w:pPr>
  </w:style>
  <w:style w:type="table" w:styleId="TableGrid">
    <w:name w:val="Table Grid"/>
    <w:basedOn w:val="TableNormal"/>
    <w:rsid w:val="009C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043E"/>
    <w:pPr>
      <w:suppressAutoHyphens w:val="0"/>
      <w:spacing w:after="160" w:line="259" w:lineRule="auto"/>
    </w:pPr>
    <w:rPr>
      <w:rFonts w:ascii="Times New Roman" w:eastAsiaTheme="minorHAnsi" w:hAnsi="Times New Roman"/>
      <w:color w:val="auto"/>
      <w:kern w:val="2"/>
      <w:sz w:val="24"/>
      <w14:ligatures w14:val="standardContextual"/>
    </w:rPr>
  </w:style>
  <w:style w:type="character" w:customStyle="1" w:styleId="ui-provider">
    <w:name w:val="ui-provider"/>
    <w:basedOn w:val="DefaultParagraphFont"/>
    <w:rsid w:val="0049043E"/>
  </w:style>
  <w:style w:type="character" w:styleId="Hyperlink">
    <w:name w:val="Hyperlink"/>
    <w:basedOn w:val="DefaultParagraphFont"/>
    <w:uiPriority w:val="99"/>
    <w:unhideWhenUsed/>
    <w:rsid w:val="0049043E"/>
    <w:rPr>
      <w:color w:val="0000FF"/>
      <w:u w:val="single"/>
    </w:rPr>
  </w:style>
  <w:style w:type="paragraph" w:customStyle="1" w:styleId="xmsonormal">
    <w:name w:val="x_msonormal"/>
    <w:basedOn w:val="Normal"/>
    <w:rsid w:val="00B575AB"/>
    <w:pPr>
      <w:suppressAutoHyphens w:val="0"/>
      <w:spacing w:after="0"/>
    </w:pPr>
    <w:rPr>
      <w:rFonts w:ascii="Calibri" w:eastAsiaTheme="minorHAnsi" w:hAnsi="Calibri" w:cs="Calibri"/>
      <w:color w:val="auto"/>
      <w:szCs w:val="22"/>
    </w:rPr>
  </w:style>
  <w:style w:type="paragraph" w:customStyle="1" w:styleId="xmsolistparagraph">
    <w:name w:val="x_msolistparagraph"/>
    <w:basedOn w:val="Normal"/>
    <w:rsid w:val="00245359"/>
    <w:pPr>
      <w:suppressAutoHyphens w:val="0"/>
      <w:spacing w:after="0"/>
      <w:ind w:left="720"/>
    </w:pPr>
    <w:rPr>
      <w:rFonts w:ascii="Calibri" w:eastAsiaTheme="minorHAns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MetroPlus Health Plan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jBdesign</dc:creator>
  <cp:keywords/>
  <cp:lastModifiedBy>Soman, Kathryn</cp:lastModifiedBy>
  <cp:revision>2</cp:revision>
  <dcterms:created xsi:type="dcterms:W3CDTF">2024-05-23T17:21:00Z</dcterms:created>
  <dcterms:modified xsi:type="dcterms:W3CDTF">2024-05-23T17:21:00Z</dcterms:modified>
</cp:coreProperties>
</file>